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37" w:rsidRDefault="00BC0C37">
      <w:pPr>
        <w:pStyle w:val="Title"/>
      </w:pPr>
      <w:proofErr w:type="gramStart"/>
      <w:r>
        <w:t>International  Students</w:t>
      </w:r>
      <w:proofErr w:type="gramEnd"/>
      <w:r>
        <w:t xml:space="preserve"> Linkages</w:t>
      </w:r>
    </w:p>
    <w:p w:rsidR="00BC0C37" w:rsidRDefault="00BC0C37">
      <w:pPr>
        <w:pStyle w:val="Heading1"/>
      </w:pPr>
      <w:r>
        <w:t>Guidelines for Application for an Elective Rotation at the UP College of Medicine</w:t>
      </w:r>
    </w:p>
    <w:p w:rsidR="00BC0C37" w:rsidRDefault="00BC0C37">
      <w:pPr>
        <w:widowControl/>
        <w:jc w:val="center"/>
        <w:rPr>
          <w:rFonts w:ascii="Arial" w:hAnsi="Arial" w:cs="Arial"/>
          <w:b/>
          <w:bCs/>
          <w:i/>
          <w:iCs/>
          <w:spacing w:val="-14"/>
        </w:rPr>
      </w:pPr>
      <w:r>
        <w:rPr>
          <w:rFonts w:ascii="Arial" w:hAnsi="Arial" w:cs="Arial"/>
          <w:b/>
          <w:bCs/>
          <w:i/>
          <w:iCs/>
          <w:spacing w:val="-14"/>
          <w:u w:val="single"/>
        </w:rPr>
        <w:t xml:space="preserve">Website </w:t>
      </w:r>
      <w:r w:rsidR="00267479">
        <w:rPr>
          <w:rFonts w:ascii="Arial" w:hAnsi="Arial" w:cs="Arial"/>
          <w:b/>
          <w:bCs/>
          <w:i/>
          <w:iCs/>
          <w:spacing w:val="-14"/>
        </w:rPr>
        <w:t>https://cm.upm.edu.ph</w:t>
      </w:r>
      <w:bookmarkStart w:id="0" w:name="_GoBack"/>
      <w:bookmarkEnd w:id="0"/>
    </w:p>
    <w:p w:rsidR="00BC0C37" w:rsidRDefault="00BC0C37">
      <w:pPr>
        <w:widowControl/>
        <w:rPr>
          <w:rFonts w:ascii="Arial" w:hAnsi="Arial" w:cs="Arial"/>
          <w:b/>
          <w:bCs/>
          <w:i/>
          <w:iCs/>
          <w:spacing w:val="-14"/>
          <w:u w:val="single"/>
        </w:rPr>
      </w:pPr>
    </w:p>
    <w:p w:rsidR="00BC0C37" w:rsidRDefault="00BC0C37">
      <w:pPr>
        <w:widowControl/>
        <w:rPr>
          <w:rFonts w:ascii="Times New Roman" w:cs="Times New Roman"/>
          <w:b/>
          <w:bCs/>
          <w:i/>
          <w:iCs/>
          <w:spacing w:val="-14"/>
          <w:u w:val="single"/>
        </w:rPr>
      </w:pPr>
      <w:r>
        <w:rPr>
          <w:rFonts w:ascii="Times New Roman" w:cs="Times New Roman"/>
          <w:b/>
          <w:bCs/>
          <w:i/>
          <w:iCs/>
          <w:spacing w:val="-14"/>
          <w:u w:val="single"/>
        </w:rPr>
        <w:t>Rationale and Background</w:t>
      </w:r>
    </w:p>
    <w:p w:rsidR="00BC0C37" w:rsidRDefault="00BC0C37">
      <w:pPr>
        <w:widowControl/>
        <w:rPr>
          <w:rFonts w:ascii="Times New Roman" w:cs="Times New Roman"/>
          <w:b/>
          <w:bCs/>
          <w:i/>
          <w:iCs/>
          <w:spacing w:val="-14"/>
          <w:u w:val="single"/>
        </w:rPr>
      </w:pPr>
    </w:p>
    <w:p w:rsidR="00BC0C37" w:rsidRDefault="00BC0C37">
      <w:pPr>
        <w:widowControl/>
        <w:jc w:val="both"/>
        <w:rPr>
          <w:rFonts w:ascii="Times New Roman" w:cs="Times New Roman"/>
          <w:i/>
          <w:iCs/>
          <w:spacing w:val="-14"/>
        </w:rPr>
      </w:pPr>
      <w:r>
        <w:rPr>
          <w:rFonts w:ascii="Times New Roman" w:cs="Times New Roman"/>
          <w:spacing w:val="-14"/>
        </w:rPr>
        <w:t>Through the years, the UP College of Medicine has endeavored to fulfill its vision/mission statement to lead and excel in Community-Oriented Medical Education. At the same time, the College is also called upon by the Commission on Higher Education (CHED</w:t>
      </w:r>
      <w:r>
        <w:rPr>
          <w:rFonts w:ascii="Times New Roman" w:cs="Times New Roman"/>
          <w:i/>
          <w:iCs/>
          <w:spacing w:val="-14"/>
        </w:rPr>
        <w:t>) "to encourage and promote a borderless education for Filipino students to attain knowledge, skills and desirable attitudes that will make them globally competitive in medical education."</w:t>
      </w:r>
    </w:p>
    <w:p w:rsidR="00BC0C37" w:rsidRDefault="00BC0C37">
      <w:pPr>
        <w:widowControl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   </w:t>
      </w:r>
    </w:p>
    <w:p w:rsidR="00BC0C37" w:rsidRDefault="00BC0C37">
      <w:pPr>
        <w:widowControl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Changes in higher education have encouraged participation in the development of a spirit of solidarity, based on networking, twinning programs and other forms of linkages. This is in keeping with a new vision of a Global University or a University for the world welcoming international scholars and students.</w:t>
      </w:r>
    </w:p>
    <w:p w:rsidR="00BC0C37" w:rsidRDefault="00BC0C37">
      <w:pPr>
        <w:widowControl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 </w:t>
      </w:r>
    </w:p>
    <w:p w:rsidR="00BC0C37" w:rsidRDefault="00BC0C37">
      <w:pPr>
        <w:widowControl/>
        <w:jc w:val="both"/>
        <w:rPr>
          <w:rFonts w:ascii="Times New Roman" w:cs="Times New Roman"/>
          <w:i/>
          <w:iCs/>
          <w:spacing w:val="-14"/>
        </w:rPr>
      </w:pPr>
      <w:r>
        <w:rPr>
          <w:rFonts w:ascii="Times New Roman" w:cs="Times New Roman"/>
          <w:spacing w:val="-14"/>
        </w:rPr>
        <w:t>International exchanges, cooperative programs with community training and a wide array of administrative services are being laid out for the development of a distinct commitment, attitude and global awareness which transcend the entire higher education institute. Former CHED Commissioner Ester Garcia has said "</w:t>
      </w:r>
      <w:r>
        <w:rPr>
          <w:rFonts w:ascii="Times New Roman" w:cs="Times New Roman"/>
          <w:i/>
          <w:iCs/>
          <w:spacing w:val="-14"/>
        </w:rPr>
        <w:t>internationalization is no longer a choice but a setting stage for ensuring quality in higher education in the Philippines."</w:t>
      </w:r>
    </w:p>
    <w:p w:rsidR="00BC0C37" w:rsidRPr="00444143" w:rsidRDefault="00BC0C37">
      <w:pPr>
        <w:widowControl/>
        <w:jc w:val="both"/>
        <w:rPr>
          <w:rFonts w:ascii="Times New Roman" w:cs="Times New Roman"/>
          <w:spacing w:val="-14"/>
        </w:rPr>
      </w:pPr>
      <w:r w:rsidRPr="00444143">
        <w:rPr>
          <w:rFonts w:ascii="Times New Roman" w:cs="Times New Roman"/>
          <w:spacing w:val="-14"/>
        </w:rPr>
        <w:t> </w:t>
      </w:r>
    </w:p>
    <w:p w:rsidR="00BC0C37" w:rsidRDefault="00BC0C37">
      <w:pPr>
        <w:widowControl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On this note, the UP College of </w:t>
      </w:r>
      <w:proofErr w:type="gramStart"/>
      <w:r>
        <w:rPr>
          <w:rFonts w:ascii="Times New Roman" w:cs="Times New Roman"/>
          <w:spacing w:val="-14"/>
        </w:rPr>
        <w:t>Medicine  encourages</w:t>
      </w:r>
      <w:proofErr w:type="gramEnd"/>
      <w:r>
        <w:rPr>
          <w:rFonts w:ascii="Times New Roman" w:cs="Times New Roman"/>
          <w:spacing w:val="-14"/>
        </w:rPr>
        <w:t xml:space="preserve"> the crossing of educational and cultural barriers towards the development of a globally competitive curriculum and high quality students.</w:t>
      </w:r>
    </w:p>
    <w:p w:rsidR="00BC0C37" w:rsidRPr="00444143" w:rsidRDefault="00BC0C37">
      <w:pPr>
        <w:widowControl/>
        <w:jc w:val="both"/>
        <w:rPr>
          <w:rFonts w:ascii="Times New Roman" w:cs="Times New Roman"/>
          <w:spacing w:val="-14"/>
          <w:u w:val="single"/>
        </w:rPr>
      </w:pPr>
    </w:p>
    <w:p w:rsidR="00BC0C37" w:rsidRDefault="00BC0C37">
      <w:pPr>
        <w:widowControl/>
        <w:jc w:val="both"/>
        <w:rPr>
          <w:rFonts w:ascii="Times New Roman" w:cs="Times New Roman"/>
          <w:b/>
          <w:bCs/>
          <w:i/>
          <w:iCs/>
          <w:spacing w:val="-14"/>
          <w:u w:val="single"/>
        </w:rPr>
      </w:pPr>
      <w:r>
        <w:rPr>
          <w:rFonts w:ascii="Times New Roman" w:cs="Times New Roman"/>
          <w:b/>
          <w:bCs/>
          <w:i/>
          <w:iCs/>
          <w:spacing w:val="-14"/>
          <w:u w:val="single"/>
        </w:rPr>
        <w:t>Objective</w:t>
      </w:r>
    </w:p>
    <w:p w:rsidR="00BC0C37" w:rsidRPr="00444143" w:rsidRDefault="00BC0C37">
      <w:pPr>
        <w:widowControl/>
        <w:jc w:val="both"/>
        <w:rPr>
          <w:rFonts w:ascii="Times New Roman" w:cs="Times New Roman"/>
          <w:spacing w:val="-14"/>
          <w:u w:val="single"/>
        </w:rPr>
      </w:pPr>
    </w:p>
    <w:p w:rsidR="00BC0C37" w:rsidRDefault="00BC0C37">
      <w:pPr>
        <w:widowControl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To establish and promote international linkages, cooperation and networking among medical students towards the development of globally competitive and socially conscious medical graduates.</w:t>
      </w:r>
    </w:p>
    <w:p w:rsidR="00BC0C37" w:rsidRPr="00444143" w:rsidRDefault="00BC0C37">
      <w:pPr>
        <w:widowControl/>
        <w:rPr>
          <w:rFonts w:ascii="Times New Roman" w:cs="Times New Roman"/>
          <w:spacing w:val="-14"/>
        </w:rPr>
      </w:pPr>
      <w:r w:rsidRPr="00444143">
        <w:rPr>
          <w:rFonts w:ascii="Times New Roman" w:cs="Times New Roman"/>
          <w:spacing w:val="-14"/>
        </w:rPr>
        <w:t> </w:t>
      </w:r>
    </w:p>
    <w:p w:rsidR="00BC0C37" w:rsidRDefault="00BC0C37">
      <w:pPr>
        <w:widowControl/>
        <w:rPr>
          <w:rFonts w:ascii="Times New Roman" w:cs="Times New Roman"/>
          <w:b/>
          <w:bCs/>
          <w:i/>
          <w:iCs/>
          <w:spacing w:val="-14"/>
          <w:u w:val="single"/>
        </w:rPr>
      </w:pPr>
      <w:r>
        <w:rPr>
          <w:rFonts w:ascii="Times New Roman" w:cs="Times New Roman"/>
          <w:b/>
          <w:bCs/>
          <w:i/>
          <w:iCs/>
          <w:spacing w:val="-14"/>
          <w:u w:val="single"/>
        </w:rPr>
        <w:t>Procedures</w:t>
      </w:r>
    </w:p>
    <w:p w:rsidR="00BC0C37" w:rsidRPr="00444143" w:rsidRDefault="00BC0C37">
      <w:pPr>
        <w:widowControl/>
        <w:rPr>
          <w:rFonts w:ascii="Times New Roman" w:cs="Times New Roman"/>
          <w:b/>
          <w:bCs/>
          <w:i/>
          <w:iCs/>
          <w:spacing w:val="-14"/>
        </w:rPr>
      </w:pP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i/>
          <w:iCs/>
          <w:spacing w:val="-14"/>
        </w:rPr>
      </w:pPr>
      <w:r>
        <w:rPr>
          <w:rFonts w:ascii="Times New Roman" w:cs="Times New Roman"/>
          <w:i/>
          <w:iCs/>
          <w:spacing w:val="-14"/>
        </w:rPr>
        <w:t>1.</w:t>
      </w:r>
      <w:r w:rsidRPr="00444143">
        <w:rPr>
          <w:rFonts w:ascii="Times New Roman" w:cs="Times New Roman"/>
          <w:spacing w:val="-14"/>
        </w:rPr>
        <w:t> </w:t>
      </w:r>
      <w:r>
        <w:rPr>
          <w:rFonts w:ascii="Times New Roman" w:cs="Times New Roman"/>
          <w:spacing w:val="-14"/>
        </w:rPr>
        <w:t xml:space="preserve"> </w:t>
      </w:r>
      <w:r>
        <w:rPr>
          <w:rFonts w:ascii="Times New Roman" w:cs="Times New Roman"/>
          <w:i/>
          <w:iCs/>
          <w:spacing w:val="-14"/>
        </w:rPr>
        <w:t>Application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i/>
          <w:iCs/>
          <w:spacing w:val="-14"/>
        </w:rPr>
      </w:pP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1.1 International students are encouraged to apply for elective, clinical, community or research rotations in one or 2 departments offering an   elective for a specific period of time, usually 4 to 8 weeks per department.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1.2 Interested students should apply in writing through the Office of the Associate Dean for Academic Development (</w:t>
      </w:r>
      <w:proofErr w:type="gramStart"/>
      <w:r>
        <w:rPr>
          <w:rFonts w:ascii="Times New Roman" w:cs="Times New Roman"/>
          <w:spacing w:val="-14"/>
        </w:rPr>
        <w:t>ADAD)  and</w:t>
      </w:r>
      <w:proofErr w:type="gramEnd"/>
      <w:r>
        <w:rPr>
          <w:rFonts w:ascii="Times New Roman" w:cs="Times New Roman"/>
          <w:spacing w:val="-14"/>
        </w:rPr>
        <w:t xml:space="preserve"> should fill up an application form (IS-1) indicating the following:</w:t>
      </w:r>
    </w:p>
    <w:p w:rsidR="00BC0C37" w:rsidRDefault="00BC0C37">
      <w:pPr>
        <w:widowControl/>
        <w:ind w:left="72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1)   applicant's short bio-data,</w:t>
      </w:r>
    </w:p>
    <w:p w:rsidR="00BC0C37" w:rsidRDefault="00BC0C37">
      <w:pPr>
        <w:widowControl/>
        <w:ind w:left="72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2)   learning objectives and methods for achieving the objectives,</w:t>
      </w:r>
    </w:p>
    <w:p w:rsidR="00BC0C37" w:rsidRDefault="00BC0C37">
      <w:pPr>
        <w:widowControl/>
        <w:ind w:left="72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3)   clinical department to rotate in, and the</w:t>
      </w:r>
    </w:p>
    <w:p w:rsidR="00BC0C37" w:rsidRDefault="00BC0C37">
      <w:pPr>
        <w:widowControl/>
        <w:ind w:left="72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4)    period covered by such rotation. </w:t>
      </w:r>
    </w:p>
    <w:p w:rsidR="00BC0C37" w:rsidRDefault="00BC0C37">
      <w:pPr>
        <w:widowControl/>
        <w:ind w:left="360"/>
        <w:jc w:val="both"/>
        <w:rPr>
          <w:rFonts w:ascii="Times New Roman" w:cs="Times New Roman"/>
          <w:b/>
          <w:bCs/>
          <w:i/>
          <w:iCs/>
          <w:spacing w:val="-14"/>
        </w:rPr>
      </w:pPr>
      <w:r>
        <w:rPr>
          <w:rFonts w:ascii="Times New Roman" w:cs="Times New Roman"/>
          <w:b/>
          <w:bCs/>
          <w:i/>
          <w:iCs/>
          <w:spacing w:val="-14"/>
        </w:rPr>
        <w:t>All international undergraduate students must pass through the ADAD office for proper registration and certification.</w:t>
      </w:r>
    </w:p>
    <w:p w:rsidR="00BC0C37" w:rsidRPr="00444143" w:rsidRDefault="00BC0C37">
      <w:pPr>
        <w:widowControl/>
        <w:ind w:left="360" w:hanging="360"/>
        <w:jc w:val="both"/>
        <w:rPr>
          <w:rFonts w:ascii="Times New Roman" w:cs="Times New Roman"/>
          <w:b/>
          <w:bCs/>
          <w:i/>
          <w:iCs/>
          <w:spacing w:val="-14"/>
        </w:rPr>
      </w:pPr>
      <w:r>
        <w:rPr>
          <w:rFonts w:ascii="Times New Roman" w:cs="Times New Roman"/>
          <w:spacing w:val="-14"/>
        </w:rPr>
        <w:t>1.3 Applications are forwarded to</w:t>
      </w:r>
      <w:r>
        <w:rPr>
          <w:rFonts w:ascii="Times New Roman" w:cs="Times New Roman"/>
          <w:b/>
          <w:bCs/>
          <w:i/>
          <w:iCs/>
          <w:spacing w:val="-14"/>
        </w:rPr>
        <w:t xml:space="preserve"> </w:t>
      </w:r>
      <w:r>
        <w:rPr>
          <w:rFonts w:ascii="Times New Roman" w:cs="Times New Roman"/>
          <w:spacing w:val="-14"/>
        </w:rPr>
        <w:t xml:space="preserve">the department/s concerned.  Modifications and arrangements with the applicant are done by the Department Coordinator to come up with a final learning contract agreeable to both </w:t>
      </w:r>
      <w:r>
        <w:rPr>
          <w:rFonts w:ascii="Times New Roman" w:cs="Times New Roman"/>
          <w:spacing w:val="-14"/>
        </w:rPr>
        <w:lastRenderedPageBreak/>
        <w:t>parties, including duration and date of rotation. The learning contract is signed by the applicant and his/her 2 supervisors: one from the department (Department coordinator or Department Chair) of the UP College of Medicine and the other from a person of equal rank from his/her home institution.</w:t>
      </w:r>
    </w:p>
    <w:p w:rsidR="00BC0C37" w:rsidRDefault="00BC0C37">
      <w:pPr>
        <w:widowControl/>
        <w:tabs>
          <w:tab w:val="left" w:pos="360"/>
        </w:tabs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1.4   An official letter of acceptance will then be sent to the applicant with instructions to report to the ADAD office upon arrival for a formal registration and orientation.</w:t>
      </w:r>
    </w:p>
    <w:p w:rsidR="00BC0C37" w:rsidRDefault="00BC0C37">
      <w:pPr>
        <w:widowControl/>
        <w:tabs>
          <w:tab w:val="left" w:pos="360"/>
        </w:tabs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1.5 The following are the documents to be completed by the applicant prior to official acceptance.</w:t>
      </w:r>
    </w:p>
    <w:p w:rsidR="00BC0C37" w:rsidRDefault="00BC0C37">
      <w:pPr>
        <w:widowControl/>
        <w:numPr>
          <w:ilvl w:val="0"/>
          <w:numId w:val="1"/>
        </w:numPr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Application Form with </w:t>
      </w:r>
      <w:proofErr w:type="spellStart"/>
      <w:r>
        <w:rPr>
          <w:rFonts w:ascii="Times New Roman" w:cs="Times New Roman"/>
          <w:spacing w:val="-14"/>
        </w:rPr>
        <w:t>Conforme</w:t>
      </w:r>
      <w:proofErr w:type="spellEnd"/>
      <w:r>
        <w:rPr>
          <w:rFonts w:ascii="Times New Roman" w:cs="Times New Roman"/>
          <w:spacing w:val="-14"/>
        </w:rPr>
        <w:t xml:space="preserve"> (IS-1)</w:t>
      </w:r>
    </w:p>
    <w:p w:rsidR="00BC0C37" w:rsidRDefault="00BC0C37">
      <w:pPr>
        <w:widowControl/>
        <w:numPr>
          <w:ilvl w:val="0"/>
          <w:numId w:val="1"/>
        </w:numPr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Biodata or Curriculum Vitae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Learning Contract duly approved by the Department Coordinator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Recommendation Letter from Home Institution (Dean's or Registrar’s)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Immunization Certification (include Hepatitis A and B vaccines, Varicella, MMR, Tetanus toxoid)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Results of Chest </w:t>
      </w:r>
      <w:proofErr w:type="spellStart"/>
      <w:r>
        <w:rPr>
          <w:rFonts w:ascii="Times New Roman" w:cs="Times New Roman"/>
          <w:spacing w:val="-14"/>
        </w:rPr>
        <w:t>xray</w:t>
      </w:r>
      <w:proofErr w:type="spellEnd"/>
      <w:r>
        <w:rPr>
          <w:rFonts w:ascii="Times New Roman" w:cs="Times New Roman"/>
          <w:spacing w:val="-14"/>
        </w:rPr>
        <w:t xml:space="preserve"> taken with the last 6 months prior to rotation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proofErr w:type="spellStart"/>
      <w:r>
        <w:rPr>
          <w:rFonts w:ascii="Times New Roman" w:cs="Times New Roman"/>
          <w:spacing w:val="-14"/>
        </w:rPr>
        <w:t>HBsAg</w:t>
      </w:r>
      <w:proofErr w:type="spellEnd"/>
      <w:r>
        <w:rPr>
          <w:rFonts w:ascii="Times New Roman" w:cs="Times New Roman"/>
          <w:spacing w:val="-14"/>
        </w:rPr>
        <w:t xml:space="preserve"> titers and HIV test results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Medical examination certificate from the home institution indicating fitness to study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Health and Accident Insurance Certificate (with coverage applicable in the Philippines)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Waiver of Liability</w:t>
      </w:r>
    </w:p>
    <w:p w:rsidR="00BC0C37" w:rsidRDefault="00BC0C37">
      <w:pPr>
        <w:widowControl/>
        <w:numPr>
          <w:ilvl w:val="0"/>
          <w:numId w:val="1"/>
        </w:numPr>
        <w:ind w:left="720" w:hanging="315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Scanned passport</w:t>
      </w:r>
    </w:p>
    <w:p w:rsidR="00BC0C37" w:rsidRPr="00444143" w:rsidRDefault="00BC0C37">
      <w:pPr>
        <w:widowControl/>
        <w:tabs>
          <w:tab w:val="left" w:pos="709"/>
          <w:tab w:val="left" w:pos="1620"/>
        </w:tabs>
        <w:jc w:val="both"/>
        <w:rPr>
          <w:rFonts w:ascii="Times New Roman" w:cs="Times New Roman"/>
          <w:spacing w:val="-14"/>
        </w:rPr>
      </w:pPr>
      <w:r w:rsidRPr="00444143">
        <w:rPr>
          <w:rFonts w:ascii="Times New Roman" w:cs="Times New Roman"/>
          <w:spacing w:val="-14"/>
        </w:rPr>
        <w:t> </w:t>
      </w:r>
    </w:p>
    <w:p w:rsidR="00BC0C37" w:rsidRDefault="00BC0C37">
      <w:pPr>
        <w:widowControl/>
        <w:tabs>
          <w:tab w:val="left" w:pos="709"/>
          <w:tab w:val="left" w:pos="1620"/>
        </w:tabs>
        <w:jc w:val="both"/>
        <w:rPr>
          <w:rFonts w:ascii="Times New Roman" w:cs="Times New Roman"/>
          <w:i/>
          <w:iCs/>
          <w:spacing w:val="-14"/>
        </w:rPr>
      </w:pPr>
      <w:r>
        <w:rPr>
          <w:rFonts w:ascii="Times New Roman" w:cs="Times New Roman"/>
          <w:spacing w:val="-14"/>
        </w:rPr>
        <w:t xml:space="preserve">2.  </w:t>
      </w:r>
      <w:r>
        <w:rPr>
          <w:rFonts w:ascii="Times New Roman" w:cs="Times New Roman"/>
          <w:i/>
          <w:iCs/>
          <w:spacing w:val="-14"/>
        </w:rPr>
        <w:t>Upon Arrival</w:t>
      </w:r>
    </w:p>
    <w:p w:rsidR="00BC0C37" w:rsidRPr="00444143" w:rsidRDefault="00BC0C37">
      <w:pPr>
        <w:widowControl/>
        <w:jc w:val="both"/>
        <w:rPr>
          <w:rFonts w:ascii="Times New Roman" w:cs="Times New Roman"/>
          <w:i/>
          <w:iCs/>
          <w:spacing w:val="-14"/>
        </w:rPr>
      </w:pP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2.1 The student reports to the ADAD Office for a welcome orientation.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2.2 The Student Records Office issues a </w:t>
      </w:r>
      <w:r>
        <w:rPr>
          <w:rFonts w:ascii="Times New Roman" w:cs="Times New Roman"/>
          <w:b/>
          <w:bCs/>
          <w:spacing w:val="-14"/>
          <w:u w:val="single"/>
        </w:rPr>
        <w:t xml:space="preserve">Form 5 </w:t>
      </w:r>
      <w:r>
        <w:rPr>
          <w:rFonts w:ascii="Times New Roman" w:cs="Times New Roman"/>
          <w:spacing w:val="-14"/>
        </w:rPr>
        <w:t>for his/her official registration and enrolment and processes a temporary student’s identification card.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2.2 </w:t>
      </w:r>
      <w:proofErr w:type="spellStart"/>
      <w:r>
        <w:rPr>
          <w:rFonts w:ascii="Times New Roman" w:cs="Times New Roman"/>
          <w:spacing w:val="-14"/>
        </w:rPr>
        <w:t>He/She</w:t>
      </w:r>
      <w:proofErr w:type="spellEnd"/>
      <w:r>
        <w:rPr>
          <w:rFonts w:ascii="Times New Roman" w:cs="Times New Roman"/>
          <w:spacing w:val="-14"/>
        </w:rPr>
        <w:t xml:space="preserve"> will present his/her medical examination certificate from his/her home institution to the PGH Health service, where he/she may be examined, as necessary.  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2.3 </w:t>
      </w:r>
      <w:proofErr w:type="spellStart"/>
      <w:r>
        <w:rPr>
          <w:rFonts w:ascii="Times New Roman" w:cs="Times New Roman"/>
          <w:spacing w:val="-14"/>
        </w:rPr>
        <w:t>He/She</w:t>
      </w:r>
      <w:proofErr w:type="spellEnd"/>
      <w:r>
        <w:rPr>
          <w:rFonts w:ascii="Times New Roman" w:cs="Times New Roman"/>
          <w:spacing w:val="-14"/>
        </w:rPr>
        <w:t xml:space="preserve"> proceeds to the Office of Student Affairs-International Students Relations at the 3</w:t>
      </w:r>
      <w:r>
        <w:rPr>
          <w:rFonts w:ascii="Times New Roman" w:cs="Times New Roman"/>
          <w:spacing w:val="-14"/>
          <w:vertAlign w:val="superscript"/>
        </w:rPr>
        <w:t>rd</w:t>
      </w:r>
      <w:r>
        <w:rPr>
          <w:rFonts w:ascii="Times New Roman" w:cs="Times New Roman"/>
          <w:spacing w:val="-14"/>
        </w:rPr>
        <w:t xml:space="preserve"> Floor Student Center Building along Padre </w:t>
      </w:r>
      <w:proofErr w:type="spellStart"/>
      <w:r>
        <w:rPr>
          <w:rFonts w:ascii="Times New Roman" w:cs="Times New Roman"/>
          <w:spacing w:val="-14"/>
        </w:rPr>
        <w:t>Faura</w:t>
      </w:r>
      <w:proofErr w:type="spellEnd"/>
      <w:r>
        <w:rPr>
          <w:rFonts w:ascii="Times New Roman" w:cs="Times New Roman"/>
          <w:spacing w:val="-14"/>
        </w:rPr>
        <w:t xml:space="preserve"> for processing of his/her temporary or provisional study permit. </w:t>
      </w:r>
      <w:proofErr w:type="spellStart"/>
      <w:r>
        <w:rPr>
          <w:rFonts w:ascii="Times New Roman" w:cs="Times New Roman"/>
          <w:spacing w:val="-14"/>
        </w:rPr>
        <w:t>He/She</w:t>
      </w:r>
      <w:proofErr w:type="spellEnd"/>
      <w:r>
        <w:rPr>
          <w:rFonts w:ascii="Times New Roman" w:cs="Times New Roman"/>
          <w:spacing w:val="-14"/>
        </w:rPr>
        <w:t xml:space="preserve"> should bring along his/her travel papers, passport, visa permit and other pertinent documents.   A maximum of one semester (5 months) can be allowed for issuance of a temporary or provisional study permit.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2.4 </w:t>
      </w:r>
      <w:proofErr w:type="spellStart"/>
      <w:r>
        <w:rPr>
          <w:rFonts w:ascii="Times New Roman" w:cs="Times New Roman"/>
          <w:spacing w:val="-14"/>
        </w:rPr>
        <w:t>He/She</w:t>
      </w:r>
      <w:proofErr w:type="spellEnd"/>
      <w:r>
        <w:rPr>
          <w:rFonts w:ascii="Times New Roman" w:cs="Times New Roman"/>
          <w:spacing w:val="-14"/>
        </w:rPr>
        <w:t xml:space="preserve"> proceeds to the Registrar's Office for the assessment and payment of fees, including the following:</w:t>
      </w:r>
    </w:p>
    <w:p w:rsidR="00BC0C37" w:rsidRDefault="00BC0C37">
      <w:pPr>
        <w:widowControl/>
        <w:ind w:left="63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a.  Educational Development Fund (EDF) </w:t>
      </w:r>
      <w:proofErr w:type="gramStart"/>
      <w:r>
        <w:rPr>
          <w:rFonts w:ascii="Times New Roman" w:cs="Times New Roman"/>
          <w:spacing w:val="-14"/>
        </w:rPr>
        <w:t>of  US</w:t>
      </w:r>
      <w:proofErr w:type="gramEnd"/>
      <w:r>
        <w:rPr>
          <w:rFonts w:ascii="Times New Roman" w:cs="Times New Roman"/>
          <w:spacing w:val="-14"/>
        </w:rPr>
        <w:t>$ 300 (summer elective) or US$ 450 (semester elective)</w:t>
      </w:r>
    </w:p>
    <w:p w:rsidR="00BC0C37" w:rsidRDefault="00BC0C37">
      <w:pPr>
        <w:widowControl/>
        <w:ind w:left="63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b. Tuition fee for the duration of a clinical rotation, approximately US$ 25 per week </w:t>
      </w:r>
    </w:p>
    <w:p w:rsidR="00BC0C37" w:rsidRDefault="00BC0C37">
      <w:pPr>
        <w:widowControl/>
        <w:ind w:left="63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c. Hospital </w:t>
      </w:r>
      <w:proofErr w:type="spellStart"/>
      <w:r>
        <w:rPr>
          <w:rFonts w:ascii="Times New Roman" w:cs="Times New Roman"/>
          <w:spacing w:val="-14"/>
        </w:rPr>
        <w:t>observership</w:t>
      </w:r>
      <w:proofErr w:type="spellEnd"/>
      <w:r>
        <w:rPr>
          <w:rFonts w:ascii="Times New Roman" w:cs="Times New Roman"/>
          <w:spacing w:val="-14"/>
        </w:rPr>
        <w:t xml:space="preserve"> fee, approximately US$60.</w:t>
      </w:r>
    </w:p>
    <w:p w:rsidR="00BC0C37" w:rsidRDefault="00BC0C37">
      <w:pPr>
        <w:widowControl/>
        <w:ind w:left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(Note:  Tuition and Hospital </w:t>
      </w:r>
      <w:proofErr w:type="spellStart"/>
      <w:r>
        <w:rPr>
          <w:rFonts w:ascii="Times New Roman" w:cs="Times New Roman"/>
          <w:spacing w:val="-14"/>
        </w:rPr>
        <w:t>observership</w:t>
      </w:r>
      <w:proofErr w:type="spellEnd"/>
      <w:r>
        <w:rPr>
          <w:rFonts w:ascii="Times New Roman" w:cs="Times New Roman"/>
          <w:spacing w:val="-14"/>
        </w:rPr>
        <w:t xml:space="preserve"> fees are subject to change).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2.5 The student is considered officially registered and enrolled upon completion of the above procedures.  </w:t>
      </w:r>
    </w:p>
    <w:p w:rsidR="00BC0C37" w:rsidRDefault="00BC0C37">
      <w:pPr>
        <w:widowControl/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2.6 The student reports to the PGH Director before going to the designated Department Coordinator to present his </w:t>
      </w:r>
      <w:r>
        <w:rPr>
          <w:rFonts w:ascii="Times New Roman" w:cs="Times New Roman"/>
          <w:b/>
          <w:bCs/>
          <w:spacing w:val="-14"/>
          <w:u w:val="single"/>
        </w:rPr>
        <w:t>Form 5</w:t>
      </w:r>
      <w:r>
        <w:rPr>
          <w:rFonts w:ascii="Times New Roman" w:cs="Times New Roman"/>
          <w:spacing w:val="-14"/>
        </w:rPr>
        <w:t xml:space="preserve"> to show he/she has been duly registered and has been officially enrolled.</w:t>
      </w:r>
    </w:p>
    <w:p w:rsidR="00BC0C37" w:rsidRPr="00444143" w:rsidRDefault="00BC0C37">
      <w:pPr>
        <w:widowControl/>
        <w:ind w:left="360" w:hanging="360"/>
        <w:rPr>
          <w:rFonts w:ascii="Times New Roman" w:cs="Times New Roman"/>
          <w:spacing w:val="-14"/>
        </w:rPr>
      </w:pPr>
    </w:p>
    <w:p w:rsidR="00BC0C37" w:rsidRDefault="00BC0C37">
      <w:pPr>
        <w:widowControl/>
        <w:ind w:left="360" w:hanging="360"/>
        <w:rPr>
          <w:rFonts w:ascii="Times New Roman" w:cs="Times New Roman"/>
          <w:i/>
          <w:iCs/>
          <w:spacing w:val="-14"/>
        </w:rPr>
      </w:pPr>
      <w:r>
        <w:rPr>
          <w:rFonts w:ascii="Times New Roman" w:cs="Times New Roman"/>
          <w:i/>
          <w:iCs/>
          <w:spacing w:val="-14"/>
        </w:rPr>
        <w:t xml:space="preserve">3.  At the End of the Elective Rotation </w:t>
      </w:r>
    </w:p>
    <w:p w:rsidR="00BC0C37" w:rsidRDefault="00BC0C37">
      <w:pPr>
        <w:widowControl/>
        <w:ind w:left="360" w:hanging="360"/>
        <w:rPr>
          <w:rFonts w:ascii="Times New Roman" w:cs="Times New Roman"/>
          <w:i/>
          <w:iCs/>
          <w:spacing w:val="-14"/>
        </w:rPr>
      </w:pPr>
    </w:p>
    <w:p w:rsidR="00BC0C37" w:rsidRDefault="00BC0C37">
      <w:pPr>
        <w:widowControl/>
        <w:tabs>
          <w:tab w:val="left" w:pos="1429"/>
          <w:tab w:val="left" w:pos="2149"/>
          <w:tab w:val="left" w:pos="2869"/>
          <w:tab w:val="left" w:pos="3600"/>
        </w:tabs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3.1 The Department Chair through the Department </w:t>
      </w:r>
      <w:proofErr w:type="gramStart"/>
      <w:r>
        <w:rPr>
          <w:rFonts w:ascii="Times New Roman" w:cs="Times New Roman"/>
          <w:spacing w:val="-14"/>
        </w:rPr>
        <w:t>Coordinator  submits</w:t>
      </w:r>
      <w:proofErr w:type="gramEnd"/>
      <w:r>
        <w:rPr>
          <w:rFonts w:ascii="Times New Roman" w:cs="Times New Roman"/>
          <w:spacing w:val="-14"/>
        </w:rPr>
        <w:t xml:space="preserve"> an evaluation of the student to the ADAD Office for official documentation and certification.  </w:t>
      </w:r>
    </w:p>
    <w:p w:rsidR="00BC0C37" w:rsidRDefault="00BC0C37">
      <w:pPr>
        <w:widowControl/>
        <w:tabs>
          <w:tab w:val="left" w:pos="1429"/>
          <w:tab w:val="left" w:pos="2149"/>
          <w:tab w:val="left" w:pos="2869"/>
          <w:tab w:val="left" w:pos="3001"/>
        </w:tabs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3.2 The Dean through the College Secretary officially endorses and submits the grade to the student’s institution and provides the certification for the clinical rotation.</w:t>
      </w:r>
    </w:p>
    <w:p w:rsidR="00BC0C37" w:rsidRDefault="00BC0C37">
      <w:pPr>
        <w:widowControl/>
        <w:tabs>
          <w:tab w:val="left" w:pos="1429"/>
          <w:tab w:val="left" w:pos="2149"/>
          <w:tab w:val="left" w:pos="2869"/>
          <w:tab w:val="left" w:pos="3001"/>
        </w:tabs>
        <w:ind w:left="360" w:hanging="36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3.3 The international student should inform the PGH Director of the completion of his/her rotation.</w:t>
      </w:r>
    </w:p>
    <w:p w:rsidR="00BC0C37" w:rsidRPr="00444143" w:rsidRDefault="00BC0C37">
      <w:pPr>
        <w:widowControl/>
        <w:rPr>
          <w:rFonts w:ascii="Times New Roman" w:cs="Times New Roman"/>
          <w:spacing w:val="-14"/>
        </w:rPr>
      </w:pPr>
    </w:p>
    <w:p w:rsidR="00BC0C37" w:rsidRDefault="00BC0C37">
      <w:pPr>
        <w:widowControl/>
        <w:rPr>
          <w:rFonts w:ascii="Times New Roman" w:cs="Times New Roman"/>
          <w:b/>
          <w:bCs/>
          <w:i/>
          <w:iCs/>
          <w:spacing w:val="-14"/>
          <w:u w:val="single"/>
        </w:rPr>
      </w:pPr>
      <w:r>
        <w:rPr>
          <w:rFonts w:ascii="Times New Roman" w:cs="Times New Roman"/>
          <w:b/>
          <w:bCs/>
          <w:i/>
          <w:iCs/>
          <w:spacing w:val="-14"/>
          <w:u w:val="single"/>
        </w:rPr>
        <w:lastRenderedPageBreak/>
        <w:t>Housing and Accommodation</w:t>
      </w:r>
    </w:p>
    <w:p w:rsidR="00BC0C37" w:rsidRPr="00444143" w:rsidRDefault="00BC0C37">
      <w:pPr>
        <w:widowControl/>
        <w:rPr>
          <w:rFonts w:ascii="Times New Roman" w:cs="Times New Roman"/>
          <w:spacing w:val="-14"/>
          <w:u w:val="single"/>
        </w:rPr>
      </w:pPr>
    </w:p>
    <w:p w:rsidR="00BC0C37" w:rsidRDefault="00BC0C37">
      <w:pPr>
        <w:widowControl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The College of Medicine does not have a student dormitory at the moment. Negotiations are underway between UP Manila and interested parties for the construction of housing facilities for students.   However, there are private inns, hostels, </w:t>
      </w:r>
      <w:proofErr w:type="spellStart"/>
      <w:r>
        <w:rPr>
          <w:rFonts w:ascii="Times New Roman" w:cs="Times New Roman"/>
          <w:spacing w:val="-14"/>
        </w:rPr>
        <w:t>apartelles</w:t>
      </w:r>
      <w:proofErr w:type="spellEnd"/>
      <w:r>
        <w:rPr>
          <w:rFonts w:ascii="Times New Roman" w:cs="Times New Roman"/>
          <w:spacing w:val="-14"/>
        </w:rPr>
        <w:t xml:space="preserve"> and condominium units available around the campus with rates ranging from US$ 150 to US$ 400 per month. A list will be available upon request from the Office of Student Affairs (OSA).  </w:t>
      </w:r>
    </w:p>
    <w:p w:rsidR="00BC0C37" w:rsidRPr="00444143" w:rsidRDefault="00BC0C37">
      <w:pPr>
        <w:widowControl/>
        <w:rPr>
          <w:rFonts w:ascii="Times New Roman" w:cs="Times New Roman"/>
          <w:spacing w:val="-14"/>
        </w:rPr>
      </w:pPr>
      <w:r w:rsidRPr="00444143">
        <w:rPr>
          <w:rFonts w:ascii="Times New Roman" w:cs="Times New Roman"/>
          <w:spacing w:val="-14"/>
        </w:rPr>
        <w:t> </w:t>
      </w:r>
    </w:p>
    <w:p w:rsidR="00BC0C37" w:rsidRDefault="00BC0C37">
      <w:pPr>
        <w:widowControl/>
        <w:jc w:val="both"/>
        <w:rPr>
          <w:rFonts w:ascii="Times New Roman" w:cs="Times New Roman"/>
          <w:b/>
          <w:bCs/>
          <w:i/>
          <w:iCs/>
          <w:spacing w:val="-14"/>
          <w:u w:val="single"/>
        </w:rPr>
      </w:pPr>
      <w:r>
        <w:rPr>
          <w:rFonts w:ascii="Times New Roman" w:cs="Times New Roman"/>
          <w:b/>
          <w:bCs/>
          <w:i/>
          <w:iCs/>
          <w:spacing w:val="-14"/>
          <w:u w:val="single"/>
        </w:rPr>
        <w:t xml:space="preserve">Provisions for Elective Rotation of International Students </w:t>
      </w:r>
    </w:p>
    <w:p w:rsidR="00BC0C37" w:rsidRPr="00444143" w:rsidRDefault="00BC0C37">
      <w:pPr>
        <w:widowControl/>
        <w:ind w:left="180" w:hanging="180"/>
        <w:jc w:val="both"/>
        <w:rPr>
          <w:rFonts w:ascii="Times New Roman" w:cs="Times New Roman"/>
          <w:spacing w:val="-14"/>
        </w:rPr>
      </w:pPr>
    </w:p>
    <w:p w:rsidR="00BC0C37" w:rsidRDefault="00BC0C37">
      <w:pPr>
        <w:widowControl/>
        <w:ind w:left="27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 xml:space="preserve">1.   All international undergraduate </w:t>
      </w:r>
      <w:proofErr w:type="gramStart"/>
      <w:r>
        <w:rPr>
          <w:rFonts w:ascii="Times New Roman" w:cs="Times New Roman"/>
          <w:spacing w:val="-14"/>
        </w:rPr>
        <w:t>students  rotating</w:t>
      </w:r>
      <w:proofErr w:type="gramEnd"/>
      <w:r>
        <w:rPr>
          <w:rFonts w:ascii="Times New Roman" w:cs="Times New Roman"/>
          <w:spacing w:val="-14"/>
        </w:rPr>
        <w:t xml:space="preserve"> in all departments must be registered and duly approved by the ADAD Office.  No certification will be issued unless this is accomplished.  </w:t>
      </w:r>
    </w:p>
    <w:p w:rsidR="00BC0C37" w:rsidRDefault="00BC0C37">
      <w:pPr>
        <w:widowControl/>
        <w:tabs>
          <w:tab w:val="left" w:pos="-30600"/>
          <w:tab w:val="left" w:pos="979"/>
          <w:tab w:val="left" w:pos="1249"/>
          <w:tab w:val="left" w:pos="1519"/>
        </w:tabs>
        <w:ind w:left="27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2.  Tuition fee, registration fees and other miscellaneous fees should be assessed and paid for by the students at the Registrar's Office.  The fees may be waived if a Memorandum of Agreement between institutions exists and specifically waives these fees.</w:t>
      </w:r>
    </w:p>
    <w:p w:rsidR="00BC0C37" w:rsidRDefault="00BC0C37">
      <w:pPr>
        <w:widowControl/>
        <w:tabs>
          <w:tab w:val="left" w:pos="-30600"/>
          <w:tab w:val="left" w:pos="979"/>
          <w:tab w:val="left" w:pos="1249"/>
          <w:tab w:val="left" w:pos="1519"/>
        </w:tabs>
        <w:ind w:left="27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3.  The certificate of completion of Elective Rotation will be signed by the Dean, the College Secretary, the PGH Director, and the Department Chair/Department Coordinator.</w:t>
      </w:r>
    </w:p>
    <w:p w:rsidR="00BC0C37" w:rsidRDefault="00BC0C37">
      <w:pPr>
        <w:widowControl/>
        <w:ind w:left="270" w:hanging="270"/>
        <w:jc w:val="both"/>
        <w:rPr>
          <w:rFonts w:ascii="Times New Roman" w:cs="Times New Roman"/>
          <w:spacing w:val="-14"/>
        </w:rPr>
      </w:pPr>
      <w:r>
        <w:rPr>
          <w:rFonts w:ascii="Times New Roman" w:cs="Times New Roman"/>
          <w:spacing w:val="-14"/>
        </w:rPr>
        <w:t>4.  International undergraduate students are   subject to the rules of Conduct and Discipline provided by the University Code and the Student Handbook.</w:t>
      </w:r>
    </w:p>
    <w:p w:rsidR="00BC0C37" w:rsidRPr="00444143" w:rsidRDefault="00BC0C37">
      <w:pPr>
        <w:rPr>
          <w:rFonts w:ascii="Lohit Hindi" w:eastAsia="Lohit Hindi" w:cs="Times New Roman"/>
        </w:rPr>
      </w:pPr>
    </w:p>
    <w:sectPr w:rsidR="00BC0C37" w:rsidRPr="00444143" w:rsidSect="00BC0C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43" w:rsidRPr="00444143" w:rsidRDefault="00444143">
      <w:pPr>
        <w:rPr>
          <w:rFonts w:ascii="Lohit Hindi" w:eastAsia="Lohit Hindi" w:cs="Times New Roman"/>
        </w:rPr>
      </w:pPr>
      <w:r w:rsidRPr="00444143">
        <w:rPr>
          <w:rFonts w:ascii="Lohit Hindi" w:eastAsia="Lohit Hindi" w:cs="Times New Roman"/>
        </w:rPr>
        <w:separator/>
      </w:r>
    </w:p>
  </w:endnote>
  <w:endnote w:type="continuationSeparator" w:id="0">
    <w:p w:rsidR="00444143" w:rsidRPr="00444143" w:rsidRDefault="00444143">
      <w:pPr>
        <w:rPr>
          <w:rFonts w:ascii="Lohit Hindi" w:eastAsia="Lohit Hindi" w:cs="Times New Roman"/>
        </w:rPr>
      </w:pPr>
      <w:r w:rsidRPr="00444143">
        <w:rPr>
          <w:rFonts w:ascii="Lohit Hindi" w:eastAsia="Lohit Hindi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Yu Gothic UI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37" w:rsidRDefault="00BC0C37">
    <w:pPr>
      <w:pStyle w:val="Footer"/>
      <w:rPr>
        <w:rFonts w:ascii="Calibri" w:hAnsi="Calibri" w:cs="Calibri"/>
        <w:i/>
        <w:iCs/>
        <w:sz w:val="18"/>
        <w:szCs w:val="18"/>
      </w:rPr>
    </w:pPr>
    <w:r>
      <w:rPr>
        <w:rFonts w:ascii="Calibri" w:hAnsi="Calibri" w:cs="Calibri"/>
        <w:i/>
        <w:iCs/>
        <w:sz w:val="18"/>
        <w:szCs w:val="18"/>
      </w:rPr>
      <w:t>CDD rev/</w:t>
    </w:r>
    <w:proofErr w:type="spellStart"/>
    <w:r>
      <w:rPr>
        <w:rFonts w:ascii="Calibri" w:hAnsi="Calibri" w:cs="Calibri"/>
        <w:i/>
        <w:iCs/>
        <w:sz w:val="18"/>
        <w:szCs w:val="18"/>
      </w:rPr>
      <w:t>rda</w:t>
    </w:r>
    <w:proofErr w:type="spellEnd"/>
    <w:r>
      <w:rPr>
        <w:rFonts w:ascii="Calibri" w:hAnsi="Calibri" w:cs="Calibri"/>
        <w:i/>
        <w:iCs/>
        <w:sz w:val="18"/>
        <w:szCs w:val="18"/>
      </w:rPr>
      <w:t xml:space="preserve"> 8-23-13</w:t>
    </w:r>
  </w:p>
  <w:p w:rsidR="00BC0C37" w:rsidRDefault="00BC0C37">
    <w:pPr>
      <w:pStyle w:val="Footer"/>
      <w:rPr>
        <w:rFonts w:ascii="Calibri" w:hAnsi="Calibri" w:cs="Calibri"/>
        <w:i/>
        <w:iCs/>
        <w:sz w:val="18"/>
        <w:szCs w:val="18"/>
      </w:rPr>
    </w:pPr>
  </w:p>
  <w:p w:rsidR="00BC0C37" w:rsidRDefault="00BC0C37">
    <w:pPr>
      <w:pStyle w:val="Footer"/>
      <w:rPr>
        <w:rFonts w:ascii="Mangal" w:hAnsi="Mangal" w:cs="Mang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43" w:rsidRPr="00444143" w:rsidRDefault="00444143">
      <w:pPr>
        <w:rPr>
          <w:rFonts w:ascii="Lohit Hindi" w:eastAsia="Lohit Hindi" w:cs="Times New Roman"/>
        </w:rPr>
      </w:pPr>
      <w:r w:rsidRPr="00444143">
        <w:rPr>
          <w:rFonts w:ascii="Lohit Hindi" w:eastAsia="Lohit Hindi" w:cs="Times New Roman"/>
        </w:rPr>
        <w:separator/>
      </w:r>
    </w:p>
  </w:footnote>
  <w:footnote w:type="continuationSeparator" w:id="0">
    <w:p w:rsidR="00444143" w:rsidRPr="00444143" w:rsidRDefault="00444143">
      <w:pPr>
        <w:rPr>
          <w:rFonts w:ascii="Lohit Hindi" w:eastAsia="Lohit Hindi" w:cs="Times New Roman"/>
        </w:rPr>
      </w:pPr>
      <w:r w:rsidRPr="00444143">
        <w:rPr>
          <w:rFonts w:ascii="Lohit Hindi" w:eastAsia="Lohit Hindi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0D73"/>
    <w:multiLevelType w:val="hybridMultilevel"/>
    <w:tmpl w:val="6FC8CDEA"/>
    <w:lvl w:ilvl="0" w:tplc="34090019">
      <w:start w:val="1"/>
      <w:numFmt w:val="lowerLetter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340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340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340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340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340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340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340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340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C37"/>
    <w:rsid w:val="00267479"/>
    <w:rsid w:val="00444143"/>
    <w:rsid w:val="00B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26051"/>
  <w15:docId w15:val="{76503AC9-0160-4AB0-90A4-57A5761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jc w:val="center"/>
      <w:outlineLvl w:val="0"/>
    </w:pPr>
    <w:rPr>
      <w:rFonts w:ascii="Times New Roman" w:cs="Times New Roman"/>
      <w:b/>
      <w:bCs/>
      <w:i/>
      <w:iCs/>
      <w:spacing w:val="-1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0C37"/>
    <w:rPr>
      <w:rFonts w:ascii="Cambria" w:eastAsia="Times New Roman" w:hAnsi="Cambria" w:cs="Mangal"/>
      <w:b/>
      <w:bCs/>
      <w:kern w:val="32"/>
      <w:sz w:val="32"/>
      <w:szCs w:val="29"/>
      <w:lang w:val="en-PH" w:eastAsia="hi-I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Liberation Serif" w:eastAsia="Liberation Serif" w:cs="Liberation Serif"/>
      <w:kern w:val="1"/>
      <w:sz w:val="21"/>
      <w:szCs w:val="21"/>
      <w:lang w:val="en-PH" w:eastAsia="hi-IN"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Liberation Serif" w:eastAsia="Liberation Serif" w:cs="Liberation Serif"/>
      <w:kern w:val="1"/>
      <w:sz w:val="21"/>
      <w:szCs w:val="21"/>
      <w:lang w:val="en-PH" w:eastAsia="hi-IN" w:bidi="hi-I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kern w:val="1"/>
      <w:sz w:val="14"/>
      <w:szCs w:val="14"/>
      <w:lang w:val="en-PH" w:eastAsia="hi-IN" w:bidi="hi-IN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rFonts w:ascii="Times New Roman" w:cs="Times New Roman"/>
      <w:b/>
      <w:bCs/>
      <w:caps/>
      <w:spacing w:val="-14"/>
      <w:sz w:val="28"/>
      <w:szCs w:val="28"/>
    </w:rPr>
  </w:style>
  <w:style w:type="character" w:customStyle="1" w:styleId="TitleChar">
    <w:name w:val="Title Char"/>
    <w:link w:val="Title"/>
    <w:uiPriority w:val="10"/>
    <w:rsid w:val="00BC0C37"/>
    <w:rPr>
      <w:rFonts w:ascii="Cambria" w:eastAsia="Times New Roman" w:hAnsi="Cambria" w:cs="Mangal"/>
      <w:b/>
      <w:bCs/>
      <w:kern w:val="28"/>
      <w:sz w:val="32"/>
      <w:szCs w:val="29"/>
      <w:lang w:val="en-P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1081</Words>
  <Characters>6164</Characters>
  <Application>Microsoft Office Word</Application>
  <DocSecurity>0</DocSecurity>
  <Lines>51</Lines>
  <Paragraphs>14</Paragraphs>
  <ScaleCrop>false</ScaleCrop>
  <Company>UPCM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STUDENTS LINKAGES</dc:title>
  <dc:subject/>
  <dc:creator>ADAD</dc:creator>
  <cp:keywords/>
  <dc:description/>
  <cp:lastModifiedBy>Ferdie</cp:lastModifiedBy>
  <cp:revision>4</cp:revision>
  <cp:lastPrinted>2017-02-15T06:26:00Z</cp:lastPrinted>
  <dcterms:created xsi:type="dcterms:W3CDTF">2014-09-09T08:30:00Z</dcterms:created>
  <dcterms:modified xsi:type="dcterms:W3CDTF">2026-05-08T05:17:00Z</dcterms:modified>
</cp:coreProperties>
</file>